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7F71" w:rsidRDefault="008D7F71" w:rsidP="00055786">
      <w:pPr>
        <w:spacing w:line="360" w:lineRule="auto"/>
        <w:ind w:left="7371"/>
        <w:jc w:val="left"/>
        <w:rPr>
          <w:sz w:val="24"/>
          <w:rtl/>
        </w:rPr>
      </w:pPr>
      <w:bookmarkStart w:id="0" w:name="Date"/>
      <w:bookmarkEnd w:id="0"/>
      <w:r>
        <w:rPr>
          <w:rFonts w:hint="eastAsia"/>
          <w:sz w:val="24"/>
          <w:rtl/>
        </w:rPr>
        <w:t>ד</w:t>
      </w:r>
      <w:r>
        <w:rPr>
          <w:sz w:val="24"/>
          <w:rtl/>
        </w:rPr>
        <w:t xml:space="preserve">' </w:t>
      </w:r>
      <w:r>
        <w:rPr>
          <w:rFonts w:hint="eastAsia"/>
          <w:sz w:val="24"/>
          <w:rtl/>
        </w:rPr>
        <w:t>באדר</w:t>
      </w:r>
      <w:r>
        <w:rPr>
          <w:sz w:val="24"/>
          <w:rtl/>
        </w:rPr>
        <w:t xml:space="preserve"> </w:t>
      </w:r>
      <w:proofErr w:type="spellStart"/>
      <w:r>
        <w:rPr>
          <w:rFonts w:hint="eastAsia"/>
          <w:sz w:val="24"/>
          <w:rtl/>
        </w:rPr>
        <w:t>התשע</w:t>
      </w:r>
      <w:r>
        <w:rPr>
          <w:sz w:val="24"/>
          <w:rtl/>
        </w:rPr>
        <w:t>"</w:t>
      </w:r>
      <w:r>
        <w:rPr>
          <w:rFonts w:hint="eastAsia"/>
          <w:sz w:val="24"/>
          <w:rtl/>
        </w:rPr>
        <w:t>ה</w:t>
      </w:r>
      <w:proofErr w:type="spellEnd"/>
      <w:r>
        <w:rPr>
          <w:sz w:val="24"/>
          <w:rtl/>
        </w:rPr>
        <w:br/>
        <w:t xml:space="preserve">23 </w:t>
      </w:r>
      <w:r>
        <w:rPr>
          <w:rFonts w:hint="eastAsia"/>
          <w:sz w:val="24"/>
          <w:rtl/>
        </w:rPr>
        <w:t>בפברואר</w:t>
      </w:r>
      <w:r>
        <w:rPr>
          <w:sz w:val="24"/>
          <w:rtl/>
        </w:rPr>
        <w:t xml:space="preserve"> 2015</w:t>
      </w:r>
    </w:p>
    <w:p w:rsidR="008D7F71" w:rsidRDefault="008D7F71" w:rsidP="00055786">
      <w:pPr>
        <w:spacing w:line="360" w:lineRule="auto"/>
        <w:ind w:left="7371"/>
        <w:jc w:val="left"/>
        <w:rPr>
          <w:sz w:val="24"/>
          <w:rtl/>
        </w:rPr>
      </w:pPr>
      <w:bookmarkStart w:id="1" w:name="DocNum"/>
      <w:bookmarkEnd w:id="1"/>
      <w:r>
        <w:rPr>
          <w:rFonts w:hint="eastAsia"/>
          <w:sz w:val="24"/>
          <w:rtl/>
        </w:rPr>
        <w:t>שה</w:t>
      </w:r>
      <w:r>
        <w:rPr>
          <w:sz w:val="24"/>
          <w:rtl/>
        </w:rPr>
        <w:t>. 2015-7603</w:t>
      </w:r>
    </w:p>
    <w:p w:rsidR="00C3464B" w:rsidRDefault="00C3464B" w:rsidP="00055786">
      <w:pPr>
        <w:spacing w:line="360" w:lineRule="auto"/>
        <w:ind w:left="7371"/>
        <w:jc w:val="left"/>
        <w:rPr>
          <w:sz w:val="24"/>
          <w:rtl/>
        </w:rPr>
      </w:pPr>
    </w:p>
    <w:p w:rsidR="00C3464B" w:rsidRDefault="00C3464B" w:rsidP="00055786">
      <w:pPr>
        <w:spacing w:line="360" w:lineRule="auto"/>
        <w:jc w:val="left"/>
        <w:rPr>
          <w:sz w:val="24"/>
          <w:rtl/>
        </w:rPr>
      </w:pPr>
      <w:r>
        <w:rPr>
          <w:sz w:val="24"/>
          <w:rtl/>
        </w:rPr>
        <w:t>אל:</w:t>
      </w:r>
      <w:r>
        <w:rPr>
          <w:rFonts w:hint="cs"/>
          <w:sz w:val="24"/>
          <w:rtl/>
        </w:rPr>
        <w:t xml:space="preserve"> </w:t>
      </w:r>
    </w:p>
    <w:p w:rsidR="008D7F71" w:rsidRDefault="008D7F71" w:rsidP="00055786">
      <w:pPr>
        <w:tabs>
          <w:tab w:val="left" w:pos="3486"/>
          <w:tab w:val="left" w:pos="4353"/>
        </w:tabs>
        <w:spacing w:line="360" w:lineRule="auto"/>
        <w:jc w:val="left"/>
        <w:rPr>
          <w:sz w:val="24"/>
          <w:rtl/>
        </w:rPr>
      </w:pPr>
      <w:bookmarkStart w:id="2" w:name="MainToEl"/>
      <w:bookmarkEnd w:id="2"/>
    </w:p>
    <w:p w:rsidR="00C3464B" w:rsidRDefault="00C3464B" w:rsidP="00055786">
      <w:pPr>
        <w:tabs>
          <w:tab w:val="left" w:pos="3486"/>
          <w:tab w:val="left" w:pos="5896"/>
        </w:tabs>
        <w:spacing w:line="360" w:lineRule="auto"/>
        <w:jc w:val="left"/>
        <w:rPr>
          <w:sz w:val="24"/>
          <w:rtl/>
        </w:rPr>
      </w:pPr>
    </w:p>
    <w:p w:rsidR="00C3464B" w:rsidRDefault="00C3464B" w:rsidP="00055786">
      <w:pPr>
        <w:tabs>
          <w:tab w:val="left" w:pos="3486"/>
          <w:tab w:val="left" w:pos="5896"/>
        </w:tabs>
        <w:spacing w:line="360" w:lineRule="auto"/>
        <w:jc w:val="left"/>
        <w:rPr>
          <w:sz w:val="24"/>
          <w:rtl/>
        </w:rPr>
      </w:pPr>
    </w:p>
    <w:p w:rsidR="00C3464B" w:rsidRDefault="00C3464B" w:rsidP="008D7F71">
      <w:pPr>
        <w:spacing w:line="360" w:lineRule="auto"/>
        <w:ind w:left="651" w:hanging="651"/>
        <w:jc w:val="left"/>
        <w:rPr>
          <w:b/>
          <w:bCs/>
          <w:sz w:val="24"/>
          <w:u w:val="single"/>
          <w:rtl/>
        </w:rPr>
      </w:pPr>
      <w:r>
        <w:rPr>
          <w:sz w:val="24"/>
          <w:rtl/>
        </w:rPr>
        <w:t>הנדון:</w:t>
      </w:r>
      <w:r w:rsidRPr="002960DC">
        <w:rPr>
          <w:b/>
          <w:bCs/>
          <w:sz w:val="24"/>
          <w:u w:val="single"/>
          <w:rtl/>
        </w:rPr>
        <w:tab/>
      </w:r>
      <w:bookmarkStart w:id="3" w:name="About"/>
      <w:bookmarkEnd w:id="3"/>
      <w:r w:rsidR="008D7F71">
        <w:rPr>
          <w:rFonts w:hint="eastAsia"/>
          <w:b/>
          <w:bCs/>
          <w:sz w:val="24"/>
          <w:u w:val="single"/>
          <w:rtl/>
        </w:rPr>
        <w:t>תשלום</w:t>
      </w:r>
      <w:r w:rsidR="008D7F71">
        <w:rPr>
          <w:b/>
          <w:bCs/>
          <w:sz w:val="24"/>
          <w:u w:val="single"/>
          <w:rtl/>
        </w:rPr>
        <w:t xml:space="preserve"> </w:t>
      </w:r>
      <w:r w:rsidR="008D7F71">
        <w:rPr>
          <w:rFonts w:hint="eastAsia"/>
          <w:b/>
          <w:bCs/>
          <w:sz w:val="24"/>
          <w:u w:val="single"/>
          <w:rtl/>
        </w:rPr>
        <w:t>דמי</w:t>
      </w:r>
      <w:r w:rsidR="008D7F71">
        <w:rPr>
          <w:b/>
          <w:bCs/>
          <w:sz w:val="24"/>
          <w:u w:val="single"/>
          <w:rtl/>
        </w:rPr>
        <w:t xml:space="preserve"> </w:t>
      </w:r>
      <w:r w:rsidR="008D7F71">
        <w:rPr>
          <w:rFonts w:hint="eastAsia"/>
          <w:b/>
          <w:bCs/>
          <w:sz w:val="24"/>
          <w:u w:val="single"/>
          <w:rtl/>
        </w:rPr>
        <w:t>חבר</w:t>
      </w:r>
      <w:r w:rsidR="008D7F71">
        <w:rPr>
          <w:b/>
          <w:bCs/>
          <w:sz w:val="24"/>
          <w:u w:val="single"/>
          <w:rtl/>
        </w:rPr>
        <w:t xml:space="preserve"> </w:t>
      </w:r>
      <w:r w:rsidR="008D7F71">
        <w:rPr>
          <w:rFonts w:hint="eastAsia"/>
          <w:b/>
          <w:bCs/>
          <w:sz w:val="24"/>
          <w:u w:val="single"/>
          <w:rtl/>
        </w:rPr>
        <w:t>ל</w:t>
      </w:r>
      <w:r w:rsidR="008D7F71">
        <w:rPr>
          <w:b/>
          <w:bCs/>
          <w:sz w:val="24"/>
          <w:u w:val="single"/>
          <w:rtl/>
        </w:rPr>
        <w:t>-</w:t>
      </w:r>
      <w:r w:rsidR="008D7F71">
        <w:rPr>
          <w:b/>
          <w:bCs/>
          <w:sz w:val="24"/>
          <w:u w:val="single"/>
        </w:rPr>
        <w:t>IOPS</w:t>
      </w:r>
      <w:r w:rsidR="008D7F71">
        <w:rPr>
          <w:b/>
          <w:bCs/>
          <w:sz w:val="24"/>
          <w:u w:val="single"/>
          <w:rtl/>
        </w:rPr>
        <w:t xml:space="preserve"> - </w:t>
      </w:r>
      <w:r w:rsidR="008D7F71">
        <w:rPr>
          <w:rFonts w:hint="eastAsia"/>
          <w:b/>
          <w:bCs/>
          <w:sz w:val="24"/>
          <w:u w:val="single"/>
          <w:rtl/>
        </w:rPr>
        <w:t>שנים</w:t>
      </w:r>
      <w:r w:rsidR="008D7F71">
        <w:rPr>
          <w:b/>
          <w:bCs/>
          <w:sz w:val="24"/>
          <w:u w:val="single"/>
          <w:rtl/>
        </w:rPr>
        <w:t xml:space="preserve"> 2017-2015</w:t>
      </w:r>
    </w:p>
    <w:p w:rsidR="00C3464B" w:rsidRDefault="008D7F71" w:rsidP="00055786">
      <w:pPr>
        <w:spacing w:line="360" w:lineRule="auto"/>
        <w:ind w:left="651"/>
        <w:jc w:val="left"/>
        <w:rPr>
          <w:sz w:val="24"/>
          <w:rtl/>
        </w:rPr>
      </w:pPr>
      <w:bookmarkStart w:id="4" w:name="reference"/>
      <w:bookmarkEnd w:id="4"/>
      <w:r>
        <w:rPr>
          <w:sz w:val="24"/>
          <w:rtl/>
        </w:rPr>
        <w:t xml:space="preserve"> </w:t>
      </w:r>
    </w:p>
    <w:p w:rsidR="00C3464B" w:rsidRDefault="00191678" w:rsidP="00D43093">
      <w:pPr>
        <w:spacing w:line="360" w:lineRule="auto"/>
        <w:rPr>
          <w:sz w:val="24"/>
          <w:rtl/>
        </w:rPr>
      </w:pPr>
      <w:bookmarkStart w:id="5" w:name="start"/>
      <w:bookmarkEnd w:id="5"/>
      <w:r>
        <w:rPr>
          <w:rFonts w:hint="cs"/>
          <w:sz w:val="24"/>
          <w:rtl/>
        </w:rPr>
        <w:t>הארגון הבינלאומי של המפקחים על קרנות הפנסיה (</w:t>
      </w:r>
      <w:r>
        <w:rPr>
          <w:sz w:val="24"/>
        </w:rPr>
        <w:t>IOPS</w:t>
      </w:r>
      <w:r>
        <w:rPr>
          <w:rFonts w:hint="cs"/>
          <w:sz w:val="24"/>
          <w:rtl/>
        </w:rPr>
        <w:t xml:space="preserve">) משמש זירה </w:t>
      </w:r>
      <w:r w:rsidR="00D43093">
        <w:rPr>
          <w:rFonts w:hint="cs"/>
          <w:sz w:val="24"/>
          <w:rtl/>
        </w:rPr>
        <w:t xml:space="preserve">בין-לאומית </w:t>
      </w:r>
      <w:r>
        <w:rPr>
          <w:rFonts w:hint="cs"/>
          <w:sz w:val="24"/>
          <w:rtl/>
        </w:rPr>
        <w:t>לקיום דיאלוגים הנוגעים למדיניות פנסיונית</w:t>
      </w:r>
      <w:r w:rsidR="00A12A1B">
        <w:rPr>
          <w:rFonts w:hint="cs"/>
          <w:sz w:val="24"/>
          <w:rtl/>
        </w:rPr>
        <w:t xml:space="preserve"> ובכלל זה החלפת מידע בין רשויות פיקוח, קביעת סטנדרטים וזאת כדי לשפר את הפיקוח על מערכות הפנסיה ברחבי העולם. </w:t>
      </w:r>
    </w:p>
    <w:p w:rsidR="00D50181" w:rsidRDefault="00A12A1B" w:rsidP="00697B79">
      <w:pPr>
        <w:spacing w:line="360" w:lineRule="auto"/>
        <w:rPr>
          <w:sz w:val="24"/>
          <w:rtl/>
        </w:rPr>
      </w:pPr>
      <w:r>
        <w:rPr>
          <w:rFonts w:hint="cs"/>
          <w:sz w:val="24"/>
          <w:rtl/>
        </w:rPr>
        <w:t>ב-</w:t>
      </w:r>
      <w:r>
        <w:rPr>
          <w:sz w:val="24"/>
        </w:rPr>
        <w:t xml:space="preserve">IOPS </w:t>
      </w:r>
      <w:r>
        <w:rPr>
          <w:rFonts w:hint="cs"/>
          <w:sz w:val="24"/>
          <w:rtl/>
        </w:rPr>
        <w:t xml:space="preserve"> חברות למעלה מ-40 מדינות והארגון מתכנס פעמיים בשנה במדינות שונות. </w:t>
      </w:r>
      <w:r w:rsidR="00D50181">
        <w:rPr>
          <w:rFonts w:hint="cs"/>
          <w:sz w:val="24"/>
          <w:rtl/>
        </w:rPr>
        <w:t xml:space="preserve">ישראל חברה בארגון מאז אמצע העשור הקודם ובשנים האחרונות חשיבותו הבינלאומית הולכת וגדלה לנוכח תהליכי הזדקנות </w:t>
      </w:r>
      <w:proofErr w:type="spellStart"/>
      <w:r w:rsidR="00D50181">
        <w:rPr>
          <w:rFonts w:hint="cs"/>
          <w:sz w:val="24"/>
          <w:rtl/>
        </w:rPr>
        <w:t>האוכלוסיה</w:t>
      </w:r>
      <w:proofErr w:type="spellEnd"/>
      <w:r w:rsidR="00D50181">
        <w:rPr>
          <w:rFonts w:hint="cs"/>
          <w:sz w:val="24"/>
          <w:rtl/>
        </w:rPr>
        <w:t xml:space="preserve"> וגידול החשיבות של קרנות פנסיה ברחבי העולם למתן הכנסה בעת פרישה. </w:t>
      </w:r>
    </w:p>
    <w:p w:rsidR="00A12A1B" w:rsidRPr="004E095E" w:rsidRDefault="00A12A1B" w:rsidP="00697B79">
      <w:pPr>
        <w:spacing w:line="360" w:lineRule="auto"/>
        <w:rPr>
          <w:sz w:val="24"/>
          <w:rtl/>
        </w:rPr>
      </w:pPr>
      <w:r>
        <w:rPr>
          <w:rFonts w:hint="cs"/>
          <w:sz w:val="24"/>
          <w:rtl/>
        </w:rPr>
        <w:t xml:space="preserve">על רקע התהליכים הדמוגרפיים וחשיבות שוק </w:t>
      </w:r>
      <w:r w:rsidRPr="004E095E">
        <w:rPr>
          <w:rFonts w:hint="cs"/>
          <w:sz w:val="24"/>
          <w:rtl/>
        </w:rPr>
        <w:t xml:space="preserve">החיסכון לטווח ארוך במדינת ישראל אנו מבקשים </w:t>
      </w:r>
      <w:r w:rsidR="00697B79">
        <w:rPr>
          <w:rFonts w:hint="cs"/>
          <w:sz w:val="24"/>
          <w:rtl/>
        </w:rPr>
        <w:t>מוועדת המכרזים</w:t>
      </w:r>
      <w:r w:rsidR="00697B79" w:rsidRPr="004E095E">
        <w:rPr>
          <w:rFonts w:hint="cs"/>
          <w:sz w:val="24"/>
          <w:rtl/>
        </w:rPr>
        <w:t xml:space="preserve"> </w:t>
      </w:r>
      <w:r w:rsidRPr="004E095E">
        <w:rPr>
          <w:rFonts w:hint="cs"/>
          <w:sz w:val="24"/>
          <w:rtl/>
        </w:rPr>
        <w:t>לאשר לנו את המשך החברות בארגון חשוב זה לשלוש השנים הבאות. נציין שכבר בשנת 2012 הוכרז הארגון כספק יחיד</w:t>
      </w:r>
      <w:r w:rsidR="0019274E" w:rsidRPr="004E095E">
        <w:rPr>
          <w:rFonts w:hint="cs"/>
          <w:sz w:val="24"/>
          <w:rtl/>
        </w:rPr>
        <w:t>, ככול הידוע לנו מאז מועד</w:t>
      </w:r>
      <w:r w:rsidR="00697B79">
        <w:rPr>
          <w:rFonts w:hint="cs"/>
          <w:sz w:val="24"/>
          <w:rtl/>
        </w:rPr>
        <w:t xml:space="preserve"> זה</w:t>
      </w:r>
      <w:r w:rsidR="0019274E" w:rsidRPr="004E095E">
        <w:rPr>
          <w:rFonts w:hint="cs"/>
          <w:sz w:val="24"/>
          <w:rtl/>
        </w:rPr>
        <w:t xml:space="preserve"> לא קם כל גוף אחר</w:t>
      </w:r>
      <w:r w:rsidR="00697B79">
        <w:rPr>
          <w:rFonts w:hint="cs"/>
          <w:sz w:val="24"/>
          <w:rtl/>
        </w:rPr>
        <w:t xml:space="preserve"> בעל המאפיינים המקצועיים האמורים</w:t>
      </w:r>
      <w:r w:rsidR="00D50181">
        <w:rPr>
          <w:rFonts w:hint="cs"/>
          <w:sz w:val="24"/>
          <w:rtl/>
        </w:rPr>
        <w:t>, זאת בדומה לארגונים מקבילים שקיימים להסדרת הפיקוח הבינלאומי על חברות הביטוח (</w:t>
      </w:r>
      <w:r w:rsidR="00D50181">
        <w:rPr>
          <w:sz w:val="24"/>
        </w:rPr>
        <w:t>IAIS</w:t>
      </w:r>
      <w:r w:rsidR="00D50181">
        <w:rPr>
          <w:rFonts w:hint="cs"/>
          <w:sz w:val="24"/>
          <w:rtl/>
        </w:rPr>
        <w:t>) ועל הבנקים (</w:t>
      </w:r>
      <w:r w:rsidR="00D50181">
        <w:rPr>
          <w:sz w:val="24"/>
        </w:rPr>
        <w:t>BIS</w:t>
      </w:r>
      <w:r w:rsidR="00D50181">
        <w:rPr>
          <w:rFonts w:hint="cs"/>
          <w:sz w:val="24"/>
          <w:rtl/>
        </w:rPr>
        <w:t>)</w:t>
      </w:r>
      <w:r w:rsidRPr="004E095E">
        <w:rPr>
          <w:rFonts w:hint="cs"/>
          <w:sz w:val="24"/>
          <w:rtl/>
        </w:rPr>
        <w:t xml:space="preserve">. </w:t>
      </w:r>
      <w:r w:rsidR="00B97AE4" w:rsidRPr="004E095E">
        <w:rPr>
          <w:rFonts w:hint="cs"/>
          <w:sz w:val="24"/>
          <w:rtl/>
        </w:rPr>
        <w:t>אנו מבקש</w:t>
      </w:r>
      <w:r w:rsidR="004E095E" w:rsidRPr="004E095E">
        <w:rPr>
          <w:rFonts w:hint="cs"/>
          <w:sz w:val="24"/>
          <w:rtl/>
        </w:rPr>
        <w:t>ים מהו</w:t>
      </w:r>
      <w:r w:rsidR="00697B79">
        <w:rPr>
          <w:rFonts w:hint="cs"/>
          <w:sz w:val="24"/>
          <w:rtl/>
        </w:rPr>
        <w:t>ו</w:t>
      </w:r>
      <w:r w:rsidR="004E095E" w:rsidRPr="004E095E">
        <w:rPr>
          <w:rFonts w:hint="cs"/>
          <w:sz w:val="24"/>
          <w:rtl/>
        </w:rPr>
        <w:t xml:space="preserve">עדה לאשר תשלום דמי חבר לארגון לשלוש שנים (2015- 2017) החל מחודש מרץ 2015. היקף ההתקשרות 25,000 אירו = 8,250*3 + מקדם ביטחון בשל החשש שתשלום דמי החבר יעלה בשנים הקרובות. </w:t>
      </w:r>
    </w:p>
    <w:p w:rsidR="004E095E" w:rsidRPr="0019274E" w:rsidRDefault="004E095E" w:rsidP="00055786">
      <w:pPr>
        <w:spacing w:line="360" w:lineRule="auto"/>
        <w:rPr>
          <w:sz w:val="24"/>
          <w:highlight w:val="yellow"/>
          <w:rtl/>
        </w:rPr>
      </w:pPr>
    </w:p>
    <w:p w:rsidR="00213284" w:rsidRDefault="00213284" w:rsidP="00055786">
      <w:pPr>
        <w:spacing w:line="360" w:lineRule="auto"/>
        <w:rPr>
          <w:sz w:val="24"/>
          <w:rtl/>
        </w:rPr>
      </w:pPr>
    </w:p>
    <w:p w:rsidR="00213284" w:rsidRDefault="00213284" w:rsidP="00055786">
      <w:pPr>
        <w:spacing w:line="360" w:lineRule="auto"/>
        <w:rPr>
          <w:sz w:val="24"/>
          <w:rtl/>
        </w:rPr>
      </w:pPr>
    </w:p>
    <w:p w:rsidR="00C3464B" w:rsidRDefault="00C3464B" w:rsidP="00055786">
      <w:pPr>
        <w:tabs>
          <w:tab w:val="center" w:pos="3093"/>
          <w:tab w:val="center" w:pos="7654"/>
        </w:tabs>
        <w:spacing w:line="360" w:lineRule="auto"/>
        <w:jc w:val="left"/>
        <w:rPr>
          <w:sz w:val="24"/>
          <w:rtl/>
        </w:rPr>
      </w:pPr>
      <w:r>
        <w:rPr>
          <w:sz w:val="24"/>
          <w:rtl/>
        </w:rPr>
        <w:tab/>
      </w:r>
      <w:r>
        <w:rPr>
          <w:sz w:val="24"/>
          <w:rtl/>
        </w:rPr>
        <w:tab/>
        <w:t>ב</w:t>
      </w:r>
      <w:r>
        <w:rPr>
          <w:sz w:val="24"/>
        </w:rPr>
        <w:t xml:space="preserve"> </w:t>
      </w:r>
      <w:proofErr w:type="spellStart"/>
      <w:r>
        <w:rPr>
          <w:sz w:val="24"/>
          <w:rtl/>
        </w:rPr>
        <w:t>ב</w:t>
      </w:r>
      <w:proofErr w:type="spellEnd"/>
      <w:r>
        <w:rPr>
          <w:sz w:val="24"/>
        </w:rPr>
        <w:t xml:space="preserve"> </w:t>
      </w:r>
      <w:r>
        <w:rPr>
          <w:sz w:val="24"/>
          <w:rtl/>
        </w:rPr>
        <w:t>ר</w:t>
      </w:r>
      <w:r>
        <w:rPr>
          <w:sz w:val="24"/>
        </w:rPr>
        <w:t xml:space="preserve"> </w:t>
      </w:r>
      <w:r>
        <w:rPr>
          <w:sz w:val="24"/>
          <w:rtl/>
        </w:rPr>
        <w:t>כ</w:t>
      </w:r>
      <w:r>
        <w:rPr>
          <w:sz w:val="24"/>
        </w:rPr>
        <w:t xml:space="preserve"> </w:t>
      </w:r>
      <w:r>
        <w:rPr>
          <w:sz w:val="24"/>
          <w:rtl/>
        </w:rPr>
        <w:t>ה,</w:t>
      </w:r>
    </w:p>
    <w:p w:rsidR="00344163" w:rsidRDefault="00344163" w:rsidP="00055786">
      <w:pPr>
        <w:tabs>
          <w:tab w:val="center" w:pos="3093"/>
          <w:tab w:val="center" w:pos="7654"/>
        </w:tabs>
        <w:spacing w:line="360" w:lineRule="auto"/>
        <w:jc w:val="left"/>
        <w:rPr>
          <w:sz w:val="24"/>
          <w:rtl/>
        </w:rPr>
      </w:pPr>
    </w:p>
    <w:p w:rsidR="00C3464B" w:rsidRDefault="00C3464B" w:rsidP="00055786">
      <w:pPr>
        <w:tabs>
          <w:tab w:val="center" w:pos="3093"/>
          <w:tab w:val="center" w:pos="7654"/>
        </w:tabs>
        <w:spacing w:line="360" w:lineRule="auto"/>
        <w:jc w:val="left"/>
        <w:rPr>
          <w:sz w:val="24"/>
          <w:rtl/>
        </w:rPr>
      </w:pPr>
    </w:p>
    <w:p w:rsidR="008D7F71" w:rsidRDefault="008D7F71" w:rsidP="00D43093">
      <w:pPr>
        <w:tabs>
          <w:tab w:val="center" w:pos="3093"/>
          <w:tab w:val="center" w:pos="7654"/>
        </w:tabs>
        <w:spacing w:line="360" w:lineRule="auto"/>
        <w:jc w:val="left"/>
        <w:rPr>
          <w:sz w:val="24"/>
          <w:rtl/>
        </w:rPr>
      </w:pPr>
      <w:bookmarkStart w:id="6" w:name="SignedBy"/>
      <w:bookmarkEnd w:id="6"/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rFonts w:hint="eastAsia"/>
          <w:sz w:val="24"/>
          <w:rtl/>
        </w:rPr>
        <w:t>לביא</w:t>
      </w:r>
      <w:r>
        <w:rPr>
          <w:sz w:val="24"/>
          <w:rtl/>
        </w:rPr>
        <w:t xml:space="preserve"> </w:t>
      </w:r>
      <w:proofErr w:type="spellStart"/>
      <w:r>
        <w:rPr>
          <w:rFonts w:hint="eastAsia"/>
          <w:sz w:val="24"/>
          <w:rtl/>
        </w:rPr>
        <w:t>שיפנבאואר</w:t>
      </w:r>
      <w:proofErr w:type="spellEnd"/>
      <w:r>
        <w:rPr>
          <w:sz w:val="24"/>
          <w:rtl/>
        </w:rPr>
        <w:br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rFonts w:hint="eastAsia"/>
          <w:sz w:val="24"/>
          <w:rtl/>
        </w:rPr>
        <w:t>מנהל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תחום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מידע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ופיתוח</w:t>
      </w:r>
    </w:p>
    <w:p w:rsidR="00C65741" w:rsidRDefault="00C65741" w:rsidP="008A3302">
      <w:pPr>
        <w:tabs>
          <w:tab w:val="center" w:pos="3093"/>
          <w:tab w:val="center" w:pos="7654"/>
        </w:tabs>
        <w:spacing w:line="360" w:lineRule="auto"/>
        <w:jc w:val="left"/>
        <w:rPr>
          <w:sz w:val="24"/>
          <w:rtl/>
        </w:rPr>
      </w:pPr>
      <w:r>
        <w:rPr>
          <w:sz w:val="24"/>
          <w:rtl/>
        </w:rPr>
        <w:tab/>
      </w:r>
      <w:r>
        <w:rPr>
          <w:sz w:val="24"/>
          <w:rtl/>
        </w:rPr>
        <w:tab/>
      </w:r>
    </w:p>
    <w:p w:rsidR="00344163" w:rsidRDefault="00344163" w:rsidP="00055786">
      <w:pPr>
        <w:tabs>
          <w:tab w:val="center" w:pos="3093"/>
          <w:tab w:val="center" w:pos="7654"/>
        </w:tabs>
        <w:spacing w:line="360" w:lineRule="auto"/>
        <w:jc w:val="left"/>
        <w:rPr>
          <w:sz w:val="24"/>
          <w:rtl/>
        </w:rPr>
      </w:pPr>
    </w:p>
    <w:p w:rsidR="00C3464B" w:rsidRDefault="00C3464B" w:rsidP="00055786">
      <w:pPr>
        <w:spacing w:line="360" w:lineRule="auto"/>
        <w:jc w:val="left"/>
        <w:rPr>
          <w:sz w:val="24"/>
          <w:rtl/>
        </w:rPr>
      </w:pPr>
      <w:r>
        <w:rPr>
          <w:sz w:val="24"/>
          <w:rtl/>
        </w:rPr>
        <w:t>העתק:</w:t>
      </w:r>
      <w:r>
        <w:rPr>
          <w:sz w:val="24"/>
          <w:rtl/>
        </w:rPr>
        <w:tab/>
      </w:r>
    </w:p>
    <w:p w:rsidR="008D7F71" w:rsidRDefault="008D7F71" w:rsidP="00055786">
      <w:pPr>
        <w:spacing w:line="360" w:lineRule="auto"/>
        <w:jc w:val="left"/>
        <w:rPr>
          <w:sz w:val="24"/>
          <w:rtl/>
        </w:rPr>
      </w:pPr>
      <w:bookmarkStart w:id="7" w:name="OtherTo"/>
      <w:bookmarkEnd w:id="7"/>
      <w:r>
        <w:rPr>
          <w:rFonts w:hint="eastAsia"/>
          <w:sz w:val="24"/>
          <w:rtl/>
        </w:rPr>
        <w:t>גב</w:t>
      </w:r>
      <w:r>
        <w:rPr>
          <w:sz w:val="24"/>
          <w:rtl/>
        </w:rPr>
        <w:t xml:space="preserve">' </w:t>
      </w:r>
      <w:r>
        <w:rPr>
          <w:rFonts w:hint="eastAsia"/>
          <w:sz w:val="24"/>
          <w:rtl/>
        </w:rPr>
        <w:t>יונית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מנשה</w:t>
      </w:r>
      <w:r>
        <w:rPr>
          <w:sz w:val="24"/>
          <w:rtl/>
        </w:rPr>
        <w:t xml:space="preserve"> - </w:t>
      </w:r>
      <w:r>
        <w:rPr>
          <w:rFonts w:hint="eastAsia"/>
          <w:sz w:val="24"/>
          <w:rtl/>
        </w:rPr>
        <w:t>מנהלת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תחום</w:t>
      </w:r>
      <w:r>
        <w:rPr>
          <w:sz w:val="24"/>
          <w:rtl/>
        </w:rPr>
        <w:t xml:space="preserve"> (</w:t>
      </w:r>
      <w:r>
        <w:rPr>
          <w:rFonts w:hint="eastAsia"/>
          <w:sz w:val="24"/>
          <w:rtl/>
        </w:rPr>
        <w:t>מטה</w:t>
      </w:r>
      <w:r>
        <w:rPr>
          <w:sz w:val="24"/>
          <w:rtl/>
        </w:rPr>
        <w:t xml:space="preserve"> </w:t>
      </w:r>
      <w:proofErr w:type="spellStart"/>
      <w:r>
        <w:rPr>
          <w:rFonts w:hint="eastAsia"/>
          <w:sz w:val="24"/>
          <w:rtl/>
        </w:rPr>
        <w:t>ומינהל</w:t>
      </w:r>
      <w:proofErr w:type="spellEnd"/>
      <w:r>
        <w:rPr>
          <w:sz w:val="24"/>
          <w:rtl/>
        </w:rPr>
        <w:t xml:space="preserve">), </w:t>
      </w:r>
      <w:r>
        <w:rPr>
          <w:rFonts w:hint="eastAsia"/>
          <w:sz w:val="24"/>
          <w:rtl/>
        </w:rPr>
        <w:t>משרד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האוצר</w:t>
      </w:r>
      <w:r>
        <w:rPr>
          <w:sz w:val="24"/>
          <w:rtl/>
        </w:rPr>
        <w:br/>
      </w:r>
      <w:r>
        <w:rPr>
          <w:rFonts w:hint="eastAsia"/>
          <w:sz w:val="24"/>
          <w:rtl/>
        </w:rPr>
        <w:t>גב</w:t>
      </w:r>
      <w:r>
        <w:rPr>
          <w:sz w:val="24"/>
          <w:rtl/>
        </w:rPr>
        <w:t xml:space="preserve">' </w:t>
      </w:r>
      <w:r>
        <w:rPr>
          <w:rFonts w:hint="eastAsia"/>
          <w:sz w:val="24"/>
          <w:rtl/>
        </w:rPr>
        <w:t>מירית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נחמיאס</w:t>
      </w:r>
      <w:r>
        <w:rPr>
          <w:sz w:val="24"/>
          <w:rtl/>
        </w:rPr>
        <w:t xml:space="preserve"> - </w:t>
      </w:r>
      <w:r>
        <w:rPr>
          <w:rFonts w:hint="eastAsia"/>
          <w:sz w:val="24"/>
          <w:rtl/>
        </w:rPr>
        <w:t>מרכזת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אמרכלות</w:t>
      </w:r>
      <w:r>
        <w:rPr>
          <w:sz w:val="24"/>
          <w:rtl/>
        </w:rPr>
        <w:t xml:space="preserve">, </w:t>
      </w:r>
      <w:r>
        <w:rPr>
          <w:rFonts w:hint="eastAsia"/>
          <w:sz w:val="24"/>
          <w:rtl/>
        </w:rPr>
        <w:t>משרד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האוצר</w:t>
      </w:r>
    </w:p>
    <w:p w:rsidR="00C3464B" w:rsidRPr="004C64D8" w:rsidRDefault="00C3464B" w:rsidP="00055786">
      <w:pPr>
        <w:spacing w:line="360" w:lineRule="auto"/>
        <w:jc w:val="left"/>
        <w:rPr>
          <w:szCs w:val="26"/>
          <w:rtl/>
        </w:rPr>
      </w:pPr>
    </w:p>
    <w:p w:rsidR="00213284" w:rsidRDefault="00213284" w:rsidP="00055786">
      <w:pPr>
        <w:spacing w:line="360" w:lineRule="auto"/>
        <w:rPr>
          <w:rtl/>
        </w:rPr>
      </w:pPr>
    </w:p>
    <w:p w:rsidR="00213284" w:rsidRPr="00C3464B" w:rsidRDefault="00213284" w:rsidP="00E474B6">
      <w:pPr>
        <w:spacing w:line="360" w:lineRule="auto"/>
      </w:pPr>
      <w:bookmarkStart w:id="8" w:name="_GoBack"/>
      <w:bookmarkEnd w:id="8"/>
    </w:p>
    <w:sectPr w:rsidR="00213284" w:rsidRPr="00C3464B" w:rsidSect="00213284">
      <w:headerReference w:type="even" r:id="rId9"/>
      <w:headerReference w:type="default" r:id="rId10"/>
      <w:footerReference w:type="default" r:id="rId11"/>
      <w:headerReference w:type="first" r:id="rId12"/>
      <w:footerReference w:type="first" r:id="rId13"/>
      <w:pgSz w:w="11907" w:h="16840" w:code="9"/>
      <w:pgMar w:top="1418" w:right="1134" w:bottom="1418" w:left="1134" w:header="720" w:footer="414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A004D" w:rsidRDefault="000A004D">
      <w:r>
        <w:separator/>
      </w:r>
    </w:p>
  </w:endnote>
  <w:endnote w:type="continuationSeparator" w:id="0">
    <w:p w:rsidR="000A004D" w:rsidRDefault="000A00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2904" w:rsidRPr="00213284" w:rsidRDefault="00213284" w:rsidP="00213284">
    <w:pPr>
      <w:pStyle w:val="aa"/>
      <w:pBdr>
        <w:top w:val="single" w:sz="6" w:space="1" w:color="auto"/>
      </w:pBdr>
      <w:tabs>
        <w:tab w:val="clear" w:pos="8640"/>
        <w:tab w:val="right" w:pos="9611"/>
      </w:tabs>
      <w:spacing w:line="240" w:lineRule="auto"/>
      <w:rPr>
        <w:rStyle w:val="Hyperlink"/>
        <w:color w:val="auto"/>
        <w:u w:val="none"/>
        <w:rtl/>
      </w:rPr>
    </w:pPr>
    <w:r>
      <w:rPr>
        <w:rFonts w:hint="cs"/>
        <w:sz w:val="24"/>
        <w:rtl/>
      </w:rPr>
      <w:t xml:space="preserve">רח' קפלן 1 ירושלים </w:t>
    </w:r>
    <w:r w:rsidR="000C1905">
      <w:rPr>
        <w:rFonts w:hint="cs"/>
        <w:sz w:val="24"/>
        <w:rtl/>
      </w:rPr>
      <w:t>9103002</w:t>
    </w:r>
    <w:r>
      <w:rPr>
        <w:rFonts w:hint="cs"/>
        <w:sz w:val="24"/>
        <w:rtl/>
      </w:rPr>
      <w:t xml:space="preserve"> ת.ד 3100 טל': 02-5317111 פקס': 02-5695342</w:t>
    </w:r>
    <w:r>
      <w:rPr>
        <w:sz w:val="24"/>
        <w:rtl/>
      </w:rPr>
      <w:br/>
      <w:t xml:space="preserve">אוצר ברשת : </w:t>
    </w:r>
    <w:r w:rsidRPr="00C9799A">
      <w:rPr>
        <w:sz w:val="24"/>
        <w:u w:val="single"/>
      </w:rPr>
      <w:t>www.mof.gov.il</w:t>
    </w:r>
    <w:r>
      <w:rPr>
        <w:rFonts w:hint="cs"/>
        <w:sz w:val="24"/>
        <w:rtl/>
      </w:rPr>
      <w:tab/>
    </w:r>
    <w:r>
      <w:rPr>
        <w:rFonts w:hint="cs"/>
        <w:noProof/>
        <w:sz w:val="24"/>
        <w:rtl/>
        <w:lang w:eastAsia="en-US"/>
      </w:rPr>
      <w:drawing>
        <wp:inline distT="0" distB="0" distL="0" distR="0" wp14:anchorId="67CCC8DB" wp14:editId="36426049">
          <wp:extent cx="444500" cy="283210"/>
          <wp:effectExtent l="0" t="0" r="0" b="2540"/>
          <wp:docPr id="3" name="תמונה 3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3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sz w:val="24"/>
        <w:rtl/>
      </w:rPr>
      <w:tab/>
      <w:t xml:space="preserve">שער הממשלה : </w:t>
    </w:r>
    <w:r w:rsidRPr="00C9799A">
      <w:rPr>
        <w:sz w:val="24"/>
        <w:u w:val="single"/>
      </w:rPr>
      <w:t>www.gov.il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4FFD" w:rsidRDefault="00C3464B" w:rsidP="00213284">
    <w:pPr>
      <w:pStyle w:val="aa"/>
      <w:pBdr>
        <w:top w:val="single" w:sz="6" w:space="1" w:color="auto"/>
      </w:pBdr>
      <w:tabs>
        <w:tab w:val="clear" w:pos="8640"/>
        <w:tab w:val="right" w:pos="9611"/>
      </w:tabs>
      <w:spacing w:line="240" w:lineRule="auto"/>
    </w:pPr>
    <w:r>
      <w:rPr>
        <w:rFonts w:hint="cs"/>
        <w:sz w:val="24"/>
        <w:rtl/>
      </w:rPr>
      <w:t xml:space="preserve">רח' קפלן 1 ירושלים </w:t>
    </w:r>
    <w:r w:rsidR="000C1905">
      <w:rPr>
        <w:rFonts w:hint="cs"/>
        <w:sz w:val="24"/>
        <w:rtl/>
      </w:rPr>
      <w:t>9103002</w:t>
    </w:r>
    <w:r>
      <w:rPr>
        <w:rFonts w:hint="cs"/>
        <w:sz w:val="24"/>
        <w:rtl/>
      </w:rPr>
      <w:t xml:space="preserve"> ת.ד 3100 טל': 02-5317111 פקס': 02-5695342</w:t>
    </w:r>
    <w:r>
      <w:rPr>
        <w:sz w:val="24"/>
        <w:rtl/>
      </w:rPr>
      <w:br/>
      <w:t xml:space="preserve">אוצר ברשת : </w:t>
    </w:r>
    <w:r w:rsidRPr="00C9799A">
      <w:rPr>
        <w:sz w:val="24"/>
        <w:u w:val="single"/>
      </w:rPr>
      <w:t>www.mof.gov.il</w:t>
    </w:r>
    <w:r>
      <w:rPr>
        <w:rFonts w:hint="cs"/>
        <w:sz w:val="24"/>
        <w:rtl/>
      </w:rPr>
      <w:tab/>
    </w:r>
    <w:r>
      <w:rPr>
        <w:rFonts w:hint="cs"/>
        <w:noProof/>
        <w:sz w:val="24"/>
        <w:rtl/>
        <w:lang w:eastAsia="en-US"/>
      </w:rPr>
      <w:drawing>
        <wp:inline distT="0" distB="0" distL="0" distR="0" wp14:anchorId="6AF01740" wp14:editId="17B8F561">
          <wp:extent cx="444500" cy="283210"/>
          <wp:effectExtent l="0" t="0" r="0" b="254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3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sz w:val="24"/>
        <w:rtl/>
      </w:rPr>
      <w:tab/>
      <w:t xml:space="preserve">שער הממשלה : </w:t>
    </w:r>
    <w:r w:rsidRPr="00C9799A">
      <w:rPr>
        <w:sz w:val="24"/>
        <w:u w:val="single"/>
      </w:rPr>
      <w:t>www.gov.il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A004D" w:rsidRDefault="000A004D">
      <w:r>
        <w:separator/>
      </w:r>
    </w:p>
  </w:footnote>
  <w:footnote w:type="continuationSeparator" w:id="0">
    <w:p w:rsidR="000A004D" w:rsidRDefault="000A004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4FFD" w:rsidRDefault="00C3464B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624FFD" w:rsidRDefault="000A004D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-1196233379"/>
      <w:docPartObj>
        <w:docPartGallery w:val="Page Numbers (Top of Page)"/>
        <w:docPartUnique/>
      </w:docPartObj>
    </w:sdtPr>
    <w:sdtEndPr>
      <w:rPr>
        <w:cs/>
      </w:rPr>
    </w:sdtEndPr>
    <w:sdtContent>
      <w:p w:rsidR="004C64D8" w:rsidRDefault="00C3464B">
        <w:pPr>
          <w:pStyle w:val="a8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E474B6" w:rsidRPr="00E474B6">
          <w:rPr>
            <w:noProof/>
            <w:rtl/>
            <w:lang w:val="he-IL"/>
          </w:rPr>
          <w:t>2</w:t>
        </w:r>
        <w:r>
          <w:fldChar w:fldCharType="end"/>
        </w:r>
      </w:p>
    </w:sdtContent>
  </w:sdt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2904" w:rsidRDefault="00C3464B" w:rsidP="006F2904">
    <w:pPr>
      <w:pStyle w:val="a8"/>
      <w:jc w:val="center"/>
      <w:rPr>
        <w:b w:val="0"/>
        <w:bCs w:val="0"/>
        <w:szCs w:val="40"/>
        <w:rtl/>
      </w:rPr>
    </w:pPr>
    <w:r>
      <w:rPr>
        <w:b w:val="0"/>
        <w:bCs w:val="0"/>
        <w:szCs w:val="40"/>
        <w:rtl/>
      </w:rPr>
      <w:t>מדינת ישראל</w:t>
    </w:r>
  </w:p>
  <w:p w:rsidR="006F2904" w:rsidRDefault="00C3464B" w:rsidP="006F2904">
    <w:pPr>
      <w:pStyle w:val="a8"/>
      <w:jc w:val="center"/>
      <w:rPr>
        <w:b w:val="0"/>
        <w:bCs w:val="0"/>
        <w:szCs w:val="32"/>
        <w:rtl/>
      </w:rPr>
    </w:pPr>
    <w:r>
      <w:rPr>
        <w:b w:val="0"/>
        <w:bCs w:val="0"/>
        <w:szCs w:val="32"/>
        <w:rtl/>
      </w:rPr>
      <w:t>משרד האוצר - אגף שוק ההון, ביטוח וח</w:t>
    </w:r>
    <w:r>
      <w:rPr>
        <w:rFonts w:hint="cs"/>
        <w:b w:val="0"/>
        <w:bCs w:val="0"/>
        <w:szCs w:val="32"/>
        <w:rtl/>
      </w:rPr>
      <w:t>י</w:t>
    </w:r>
    <w:r>
      <w:rPr>
        <w:b w:val="0"/>
        <w:bCs w:val="0"/>
        <w:szCs w:val="32"/>
        <w:rtl/>
      </w:rPr>
      <w:t>סכון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8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trackRevisions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464B"/>
    <w:rsid w:val="00014182"/>
    <w:rsid w:val="00047C97"/>
    <w:rsid w:val="000520B7"/>
    <w:rsid w:val="00055786"/>
    <w:rsid w:val="000568CE"/>
    <w:rsid w:val="00066383"/>
    <w:rsid w:val="00093B9D"/>
    <w:rsid w:val="000A004D"/>
    <w:rsid w:val="000C04AE"/>
    <w:rsid w:val="000C1905"/>
    <w:rsid w:val="000E6098"/>
    <w:rsid w:val="000E632C"/>
    <w:rsid w:val="0010326C"/>
    <w:rsid w:val="001611C6"/>
    <w:rsid w:val="00164B30"/>
    <w:rsid w:val="0018292D"/>
    <w:rsid w:val="00191678"/>
    <w:rsid w:val="0019274E"/>
    <w:rsid w:val="001A7C42"/>
    <w:rsid w:val="001C4F6D"/>
    <w:rsid w:val="001D55DD"/>
    <w:rsid w:val="001E548A"/>
    <w:rsid w:val="00213284"/>
    <w:rsid w:val="00275887"/>
    <w:rsid w:val="002A54A3"/>
    <w:rsid w:val="002A7FEA"/>
    <w:rsid w:val="002E38F4"/>
    <w:rsid w:val="002F197C"/>
    <w:rsid w:val="00302D89"/>
    <w:rsid w:val="00325E01"/>
    <w:rsid w:val="00344163"/>
    <w:rsid w:val="00361114"/>
    <w:rsid w:val="003840FE"/>
    <w:rsid w:val="00393C6A"/>
    <w:rsid w:val="003A1D7A"/>
    <w:rsid w:val="003C3A5C"/>
    <w:rsid w:val="003F1396"/>
    <w:rsid w:val="0040055E"/>
    <w:rsid w:val="00422A0D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095E"/>
    <w:rsid w:val="004E479D"/>
    <w:rsid w:val="004F3773"/>
    <w:rsid w:val="005028F9"/>
    <w:rsid w:val="00505D36"/>
    <w:rsid w:val="00515321"/>
    <w:rsid w:val="00515E5C"/>
    <w:rsid w:val="00534452"/>
    <w:rsid w:val="005371D8"/>
    <w:rsid w:val="00555180"/>
    <w:rsid w:val="00556BE2"/>
    <w:rsid w:val="00576EF2"/>
    <w:rsid w:val="005D42E4"/>
    <w:rsid w:val="00600BFA"/>
    <w:rsid w:val="00600F1F"/>
    <w:rsid w:val="00602DAD"/>
    <w:rsid w:val="006309B0"/>
    <w:rsid w:val="0066664E"/>
    <w:rsid w:val="00692C69"/>
    <w:rsid w:val="006952CA"/>
    <w:rsid w:val="00697B79"/>
    <w:rsid w:val="006A13C9"/>
    <w:rsid w:val="006A2503"/>
    <w:rsid w:val="006A5446"/>
    <w:rsid w:val="006B352E"/>
    <w:rsid w:val="006C55AF"/>
    <w:rsid w:val="006D0744"/>
    <w:rsid w:val="006D686D"/>
    <w:rsid w:val="006E5942"/>
    <w:rsid w:val="006F2DA7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0059"/>
    <w:rsid w:val="007E2692"/>
    <w:rsid w:val="0080160A"/>
    <w:rsid w:val="0082739B"/>
    <w:rsid w:val="00864DB3"/>
    <w:rsid w:val="00867AE5"/>
    <w:rsid w:val="00870D8A"/>
    <w:rsid w:val="008A3302"/>
    <w:rsid w:val="008B39D7"/>
    <w:rsid w:val="008D7F71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12A1B"/>
    <w:rsid w:val="00A15876"/>
    <w:rsid w:val="00A15D5D"/>
    <w:rsid w:val="00A30921"/>
    <w:rsid w:val="00A5751E"/>
    <w:rsid w:val="00A67A4F"/>
    <w:rsid w:val="00A7396A"/>
    <w:rsid w:val="00A73972"/>
    <w:rsid w:val="00A77339"/>
    <w:rsid w:val="00A84333"/>
    <w:rsid w:val="00A84658"/>
    <w:rsid w:val="00AA4752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97AE4"/>
    <w:rsid w:val="00BB393A"/>
    <w:rsid w:val="00BD67E7"/>
    <w:rsid w:val="00C01906"/>
    <w:rsid w:val="00C171DC"/>
    <w:rsid w:val="00C27AC8"/>
    <w:rsid w:val="00C3464B"/>
    <w:rsid w:val="00C37F33"/>
    <w:rsid w:val="00C65741"/>
    <w:rsid w:val="00C84ABA"/>
    <w:rsid w:val="00CA61AF"/>
    <w:rsid w:val="00CB40A4"/>
    <w:rsid w:val="00CC356E"/>
    <w:rsid w:val="00CD6DB8"/>
    <w:rsid w:val="00CE0517"/>
    <w:rsid w:val="00CF44BB"/>
    <w:rsid w:val="00D33979"/>
    <w:rsid w:val="00D43093"/>
    <w:rsid w:val="00D50181"/>
    <w:rsid w:val="00D66453"/>
    <w:rsid w:val="00D731DA"/>
    <w:rsid w:val="00D969C1"/>
    <w:rsid w:val="00DD5320"/>
    <w:rsid w:val="00DE069A"/>
    <w:rsid w:val="00DE7CC8"/>
    <w:rsid w:val="00DF73FF"/>
    <w:rsid w:val="00E41B31"/>
    <w:rsid w:val="00E474B6"/>
    <w:rsid w:val="00E56588"/>
    <w:rsid w:val="00E95EEF"/>
    <w:rsid w:val="00EA6729"/>
    <w:rsid w:val="00EC303E"/>
    <w:rsid w:val="00EF71D7"/>
    <w:rsid w:val="00F00D41"/>
    <w:rsid w:val="00F0592A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464B"/>
    <w:pPr>
      <w:bidi/>
      <w:spacing w:before="0" w:after="0" w:line="240" w:lineRule="auto"/>
      <w:jc w:val="both"/>
    </w:pPr>
    <w:rPr>
      <w:rFonts w:ascii="Arial Narrow" w:eastAsia="Times New Roman" w:hAnsi="Arial Narrow" w:cs="David"/>
      <w:sz w:val="26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ascii="Times New Roman" w:eastAsiaTheme="minorHAnsi" w:hAnsi="Times New Roman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ascii="Times New Roman" w:eastAsiaTheme="minorHAnsi" w:hAnsi="Times New Roman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ascii="Times New Roman" w:eastAsiaTheme="minorHAnsi" w:hAnsi="Times New Roman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ascii="Times New Roman" w:eastAsiaTheme="minorHAnsi" w:hAnsi="Times New Roman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ascii="Times New Roman" w:eastAsiaTheme="minorHAnsi" w:hAnsi="Times New Roman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ascii="Times New Roman" w:eastAsiaTheme="minorHAnsi" w:hAnsi="Times New Roman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ascii="Times New Roman" w:eastAsiaTheme="minorHAnsi" w:hAnsi="Times New Roman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ascii="Times New Roman" w:eastAsiaTheme="minorHAnsi" w:hAnsi="Times New Roman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ascii="Times New Roman" w:eastAsiaTheme="minorHAnsi" w:hAnsi="Times New Roman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ascii="Times New Roman" w:eastAsiaTheme="minorHAnsi" w:hAnsi="Times New Roman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ascii="Times New Roman" w:eastAsiaTheme="minorHAnsi" w:hAnsi="Times New Roman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ascii="Times New Roman" w:eastAsiaTheme="minorHAnsi" w:hAnsi="Times New Roman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ascii="Times New Roman" w:eastAsiaTheme="minorHAnsi" w:hAnsi="Times New Roman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ascii="Times New Roman" w:eastAsiaTheme="minorHAnsi" w:hAnsi="Times New Roman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ascii="Times New Roman" w:eastAsiaTheme="minorHAnsi" w:hAnsi="Times New Roman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rsid w:val="00C3464B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Times New Roman" w:hAnsi="Times New Roman"/>
      <w:b/>
      <w:bCs/>
      <w:sz w:val="22"/>
    </w:rPr>
  </w:style>
  <w:style w:type="character" w:customStyle="1" w:styleId="a9">
    <w:name w:val="כותרת עליונה תו"/>
    <w:basedOn w:val="a0"/>
    <w:link w:val="a8"/>
    <w:uiPriority w:val="99"/>
    <w:rsid w:val="00C3464B"/>
    <w:rPr>
      <w:rFonts w:ascii="Times New Roman" w:eastAsia="Times New Roman" w:hAnsi="Times New Roman" w:cs="David"/>
      <w:b/>
      <w:bCs/>
      <w:szCs w:val="24"/>
      <w:lang w:eastAsia="he-IL"/>
    </w:rPr>
  </w:style>
  <w:style w:type="paragraph" w:styleId="aa">
    <w:name w:val="footer"/>
    <w:basedOn w:val="a"/>
    <w:link w:val="ab"/>
    <w:rsid w:val="00C3464B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Times New Roman" w:hAnsi="Times New Roman"/>
      <w:b/>
      <w:bCs/>
      <w:sz w:val="22"/>
    </w:rPr>
  </w:style>
  <w:style w:type="character" w:customStyle="1" w:styleId="ab">
    <w:name w:val="כותרת תחתונה תו"/>
    <w:basedOn w:val="a0"/>
    <w:link w:val="aa"/>
    <w:rsid w:val="00C3464B"/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c">
    <w:name w:val="page number"/>
    <w:basedOn w:val="a0"/>
    <w:rsid w:val="00C3464B"/>
  </w:style>
  <w:style w:type="character" w:styleId="Hyperlink">
    <w:name w:val="Hyperlink"/>
    <w:rsid w:val="00C3464B"/>
    <w:rPr>
      <w:color w:val="0000FF"/>
      <w:u w:val="single"/>
    </w:rPr>
  </w:style>
  <w:style w:type="paragraph" w:styleId="ad">
    <w:name w:val="Balloon Text"/>
    <w:basedOn w:val="a"/>
    <w:link w:val="ae"/>
    <w:uiPriority w:val="99"/>
    <w:semiHidden/>
    <w:unhideWhenUsed/>
    <w:rsid w:val="00C3464B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464B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annotation reference"/>
    <w:basedOn w:val="a0"/>
    <w:uiPriority w:val="99"/>
    <w:semiHidden/>
    <w:unhideWhenUsed/>
    <w:rsid w:val="00C65741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C65741"/>
    <w:rPr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C65741"/>
    <w:rPr>
      <w:rFonts w:ascii="Arial Narrow" w:eastAsia="Times New Roman" w:hAnsi="Arial Narrow" w:cs="David"/>
      <w:sz w:val="20"/>
      <w:szCs w:val="20"/>
      <w:lang w:eastAsia="he-IL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C65741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C65741"/>
    <w:rPr>
      <w:rFonts w:ascii="Arial Narrow" w:eastAsia="Times New Roman" w:hAnsi="Arial Narrow" w:cs="David"/>
      <w:b/>
      <w:bCs/>
      <w:sz w:val="20"/>
      <w:szCs w:val="20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464B"/>
    <w:pPr>
      <w:bidi/>
      <w:spacing w:before="0" w:after="0" w:line="240" w:lineRule="auto"/>
      <w:jc w:val="both"/>
    </w:pPr>
    <w:rPr>
      <w:rFonts w:ascii="Arial Narrow" w:eastAsia="Times New Roman" w:hAnsi="Arial Narrow" w:cs="David"/>
      <w:sz w:val="26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ascii="Times New Roman" w:eastAsiaTheme="minorHAnsi" w:hAnsi="Times New Roman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ascii="Times New Roman" w:eastAsiaTheme="minorHAnsi" w:hAnsi="Times New Roman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ascii="Times New Roman" w:eastAsiaTheme="minorHAnsi" w:hAnsi="Times New Roman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ascii="Times New Roman" w:eastAsiaTheme="minorHAnsi" w:hAnsi="Times New Roman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ascii="Times New Roman" w:eastAsiaTheme="minorHAnsi" w:hAnsi="Times New Roman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ascii="Times New Roman" w:eastAsiaTheme="minorHAnsi" w:hAnsi="Times New Roman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ascii="Times New Roman" w:eastAsiaTheme="minorHAnsi" w:hAnsi="Times New Roman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ascii="Times New Roman" w:eastAsiaTheme="minorHAnsi" w:hAnsi="Times New Roman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ascii="Times New Roman" w:eastAsiaTheme="minorHAnsi" w:hAnsi="Times New Roman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ascii="Times New Roman" w:eastAsiaTheme="minorHAnsi" w:hAnsi="Times New Roman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ascii="Times New Roman" w:eastAsiaTheme="minorHAnsi" w:hAnsi="Times New Roman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ascii="Times New Roman" w:eastAsiaTheme="minorHAnsi" w:hAnsi="Times New Roman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ascii="Times New Roman" w:eastAsiaTheme="minorHAnsi" w:hAnsi="Times New Roman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ascii="Times New Roman" w:eastAsiaTheme="minorHAnsi" w:hAnsi="Times New Roman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ascii="Times New Roman" w:eastAsiaTheme="minorHAnsi" w:hAnsi="Times New Roman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rsid w:val="00C3464B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Times New Roman" w:hAnsi="Times New Roman"/>
      <w:b/>
      <w:bCs/>
      <w:sz w:val="22"/>
    </w:rPr>
  </w:style>
  <w:style w:type="character" w:customStyle="1" w:styleId="a9">
    <w:name w:val="כותרת עליונה תו"/>
    <w:basedOn w:val="a0"/>
    <w:link w:val="a8"/>
    <w:uiPriority w:val="99"/>
    <w:rsid w:val="00C3464B"/>
    <w:rPr>
      <w:rFonts w:ascii="Times New Roman" w:eastAsia="Times New Roman" w:hAnsi="Times New Roman" w:cs="David"/>
      <w:b/>
      <w:bCs/>
      <w:szCs w:val="24"/>
      <w:lang w:eastAsia="he-IL"/>
    </w:rPr>
  </w:style>
  <w:style w:type="paragraph" w:styleId="aa">
    <w:name w:val="footer"/>
    <w:basedOn w:val="a"/>
    <w:link w:val="ab"/>
    <w:rsid w:val="00C3464B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Times New Roman" w:hAnsi="Times New Roman"/>
      <w:b/>
      <w:bCs/>
      <w:sz w:val="22"/>
    </w:rPr>
  </w:style>
  <w:style w:type="character" w:customStyle="1" w:styleId="ab">
    <w:name w:val="כותרת תחתונה תו"/>
    <w:basedOn w:val="a0"/>
    <w:link w:val="aa"/>
    <w:rsid w:val="00C3464B"/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c">
    <w:name w:val="page number"/>
    <w:basedOn w:val="a0"/>
    <w:rsid w:val="00C3464B"/>
  </w:style>
  <w:style w:type="character" w:styleId="Hyperlink">
    <w:name w:val="Hyperlink"/>
    <w:rsid w:val="00C3464B"/>
    <w:rPr>
      <w:color w:val="0000FF"/>
      <w:u w:val="single"/>
    </w:rPr>
  </w:style>
  <w:style w:type="paragraph" w:styleId="ad">
    <w:name w:val="Balloon Text"/>
    <w:basedOn w:val="a"/>
    <w:link w:val="ae"/>
    <w:uiPriority w:val="99"/>
    <w:semiHidden/>
    <w:unhideWhenUsed/>
    <w:rsid w:val="00C3464B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464B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annotation reference"/>
    <w:basedOn w:val="a0"/>
    <w:uiPriority w:val="99"/>
    <w:semiHidden/>
    <w:unhideWhenUsed/>
    <w:rsid w:val="00C65741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C65741"/>
    <w:rPr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C65741"/>
    <w:rPr>
      <w:rFonts w:ascii="Arial Narrow" w:eastAsia="Times New Roman" w:hAnsi="Arial Narrow" w:cs="David"/>
      <w:sz w:val="20"/>
      <w:szCs w:val="20"/>
      <w:lang w:eastAsia="he-IL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C65741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C65741"/>
    <w:rPr>
      <w:rFonts w:ascii="Arial Narrow" w:eastAsia="Times New Roman" w:hAnsi="Arial Narrow" w:cs="David"/>
      <w:b/>
      <w:bCs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0B0501-A113-4AD5-8BBA-7CF076260E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218</Words>
  <Characters>1092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1308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אבי כהן</cp:lastModifiedBy>
  <cp:revision>4</cp:revision>
  <dcterms:created xsi:type="dcterms:W3CDTF">2015-03-04T07:05:00Z</dcterms:created>
  <dcterms:modified xsi:type="dcterms:W3CDTF">2015-03-04T07:05:00Z</dcterms:modified>
</cp:coreProperties>
</file>